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E01C6" w14:textId="77777777" w:rsidR="00F91C7E" w:rsidRPr="009A4094" w:rsidRDefault="007F56EF" w:rsidP="002B4A60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08B6DCEE" w14:textId="77777777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6A463B53" w14:textId="77777777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235EC714" w14:textId="77777777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060821A3" w14:textId="77777777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Първо свържете зарядното устройство в ел.мрежата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00FF15C1" w14:textId="77777777" w:rsidR="00BA19B0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54F22EAE" w14:textId="77777777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69F5B16F" w14:textId="1D3C56AD" w:rsidR="007F56EF" w:rsidRPr="009A4094" w:rsidRDefault="007F56EF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3B55D025" w14:textId="77777777" w:rsidR="009A4094" w:rsidRPr="009A4094" w:rsidRDefault="009A4094" w:rsidP="009A4094">
      <w:pPr>
        <w:pStyle w:val="a3"/>
        <w:numPr>
          <w:ilvl w:val="0"/>
          <w:numId w:val="1"/>
        </w:numPr>
        <w:spacing w:after="0"/>
        <w:rPr>
          <w:b/>
          <w:bCs/>
          <w:sz w:val="10"/>
          <w:szCs w:val="10"/>
        </w:rPr>
      </w:pPr>
      <w:bookmarkStart w:id="0" w:name="_Hlk53580900"/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1A51A88F" w14:textId="1593DB0A" w:rsidR="009A4094" w:rsidRPr="009A4094" w:rsidRDefault="009A4094" w:rsidP="009A4094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59776" behindDoc="1" locked="0" layoutInCell="1" allowOverlap="1" wp14:anchorId="2F542E2F" wp14:editId="263F9887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66944" behindDoc="1" locked="0" layoutInCell="1" allowOverlap="1" wp14:anchorId="4A059BBD" wp14:editId="71F7D4F0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bookmarkEnd w:id="0"/>
    <w:p w14:paraId="20A374FA" w14:textId="39AF5734" w:rsidR="00E6785C" w:rsidRPr="009A4094" w:rsidRDefault="007444A1" w:rsidP="002B4A60">
      <w:pPr>
        <w:pStyle w:val="a3"/>
        <w:numPr>
          <w:ilvl w:val="0"/>
          <w:numId w:val="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2051736D" w14:textId="77777777" w:rsidR="00920D96" w:rsidRDefault="00920D96" w:rsidP="00920D96">
      <w:pPr>
        <w:spacing w:after="0"/>
        <w:rPr>
          <w:b/>
          <w:sz w:val="10"/>
          <w:szCs w:val="10"/>
        </w:rPr>
      </w:pPr>
    </w:p>
    <w:p w14:paraId="770634BC" w14:textId="58506C24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4422027D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67C6485B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3CD2A7D2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787CF82E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6D49F531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49505C00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2AE647F0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5F629728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644DB29E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68992" behindDoc="1" locked="0" layoutInCell="1" allowOverlap="1" wp14:anchorId="2A25D26E" wp14:editId="08068E92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70016" behindDoc="1" locked="0" layoutInCell="1" allowOverlap="1" wp14:anchorId="7E982AE3" wp14:editId="2EB23AFB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3CA567B" w14:textId="77777777" w:rsidR="00920D96" w:rsidRPr="009A4094" w:rsidRDefault="00920D96" w:rsidP="00920D96">
      <w:pPr>
        <w:pStyle w:val="a3"/>
        <w:numPr>
          <w:ilvl w:val="0"/>
          <w:numId w:val="26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5464628E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5FD9E726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458573A6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2BB26ECA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7750F9CC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788BECB6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2B04E7A6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76378393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4ABF880D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30D3390F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3240C23A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72064" behindDoc="1" locked="0" layoutInCell="1" allowOverlap="1" wp14:anchorId="5E9AA266" wp14:editId="6D550CB3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73088" behindDoc="1" locked="0" layoutInCell="1" allowOverlap="1" wp14:anchorId="72D53393" wp14:editId="782874AD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7967F35F" w14:textId="77777777" w:rsidR="00920D96" w:rsidRPr="009A4094" w:rsidRDefault="00920D96" w:rsidP="00920D96">
      <w:pPr>
        <w:pStyle w:val="a3"/>
        <w:numPr>
          <w:ilvl w:val="0"/>
          <w:numId w:val="27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23F08E95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2547003C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2FE0BCAA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5BB293F2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6CE2865D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49497F0B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239B9A25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23754C6B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66016994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5F3C4242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25C6C29B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75136" behindDoc="1" locked="0" layoutInCell="1" allowOverlap="1" wp14:anchorId="7ADA37E1" wp14:editId="209E9C77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15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76160" behindDoc="1" locked="0" layoutInCell="1" allowOverlap="1" wp14:anchorId="7FE54017" wp14:editId="18D8C1C5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55248BF9" w14:textId="77777777" w:rsidR="00920D96" w:rsidRPr="009A4094" w:rsidRDefault="00920D96" w:rsidP="00920D96">
      <w:pPr>
        <w:pStyle w:val="a3"/>
        <w:numPr>
          <w:ilvl w:val="0"/>
          <w:numId w:val="28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761ABD39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77D5DD55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629906C1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23A50424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0C9C8D62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6CE893D5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317C4B2A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085C5C9C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5A5971AF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346B3C70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10FA63D1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78208" behindDoc="1" locked="0" layoutInCell="1" allowOverlap="1" wp14:anchorId="670F0F64" wp14:editId="47CE4DE3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17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79232" behindDoc="1" locked="0" layoutInCell="1" allowOverlap="1" wp14:anchorId="508EE025" wp14:editId="1439CDC0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18" name="Картин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70D3F535" w14:textId="77777777" w:rsidR="00920D96" w:rsidRPr="009A4094" w:rsidRDefault="00920D96" w:rsidP="00920D96">
      <w:pPr>
        <w:pStyle w:val="a3"/>
        <w:numPr>
          <w:ilvl w:val="0"/>
          <w:numId w:val="29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0E72D982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4C75BCEB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5BDD672D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57CC0116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48529DBB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2479E8A0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73DE05DB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2793AA8E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6702D722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7304337A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0337C064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81280" behindDoc="1" locked="0" layoutInCell="1" allowOverlap="1" wp14:anchorId="27E63125" wp14:editId="44F82114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82304" behindDoc="1" locked="0" layoutInCell="1" allowOverlap="1" wp14:anchorId="7E19C5E1" wp14:editId="3DC94784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0CDC738E" w14:textId="77777777" w:rsidR="00920D96" w:rsidRPr="009A4094" w:rsidRDefault="00920D96" w:rsidP="00920D96">
      <w:pPr>
        <w:pStyle w:val="a3"/>
        <w:numPr>
          <w:ilvl w:val="0"/>
          <w:numId w:val="30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0049BD0C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7810FC9A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3EB7962F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240954D4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150814FF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721A3527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7276140C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36EC0C5E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18A33D4E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497393EE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71FEECF2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84352" behindDoc="1" locked="0" layoutInCell="1" allowOverlap="1" wp14:anchorId="0D01E091" wp14:editId="1C10E5AE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85376" behindDoc="1" locked="0" layoutInCell="1" allowOverlap="1" wp14:anchorId="4F48173B" wp14:editId="1BB0162A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5BD4F7CC" w14:textId="77777777" w:rsidR="00920D96" w:rsidRPr="009A4094" w:rsidRDefault="00920D96" w:rsidP="00920D96">
      <w:pPr>
        <w:pStyle w:val="a3"/>
        <w:numPr>
          <w:ilvl w:val="0"/>
          <w:numId w:val="31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14333EEE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033F83BD" w14:textId="77777777" w:rsidR="00920D96" w:rsidRPr="009A4094" w:rsidRDefault="00920D96" w:rsidP="00920D96">
      <w:pPr>
        <w:spacing w:after="0"/>
        <w:rPr>
          <w:b/>
          <w:sz w:val="10"/>
          <w:szCs w:val="10"/>
        </w:rPr>
      </w:pPr>
      <w:r w:rsidRPr="009A4094">
        <w:rPr>
          <w:b/>
          <w:sz w:val="10"/>
          <w:szCs w:val="10"/>
        </w:rPr>
        <w:t>Инструкции за употреба на зарядно устройство.</w:t>
      </w:r>
    </w:p>
    <w:p w14:paraId="36AD8A8E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Преди да включите зарядното в устройството, проверете на колко волта работи вашето устройство.</w:t>
      </w:r>
    </w:p>
    <w:p w14:paraId="3AA93976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  <w:lang w:val="en-US"/>
        </w:rPr>
      </w:pPr>
      <w:r w:rsidRPr="009A4094">
        <w:rPr>
          <w:sz w:val="10"/>
          <w:szCs w:val="10"/>
        </w:rPr>
        <w:t>Зарядното устройство захранва до 220</w:t>
      </w:r>
      <w:r w:rsidRPr="009A4094">
        <w:rPr>
          <w:sz w:val="10"/>
          <w:szCs w:val="10"/>
          <w:lang w:val="en-US"/>
        </w:rPr>
        <w:t>V.</w:t>
      </w:r>
    </w:p>
    <w:p w14:paraId="090E467A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Използвайте зарядното устройство, което е предвидено за Вашето устройство.</w:t>
      </w:r>
    </w:p>
    <w:p w14:paraId="03B26B4C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Първо свържете зарядното устройство в </w:t>
      </w:r>
      <w:proofErr w:type="spellStart"/>
      <w:r w:rsidRPr="009A4094">
        <w:rPr>
          <w:sz w:val="10"/>
          <w:szCs w:val="10"/>
        </w:rPr>
        <w:t>ел.мрежата</w:t>
      </w:r>
      <w:proofErr w:type="spellEnd"/>
      <w:r w:rsidRPr="009A4094">
        <w:rPr>
          <w:sz w:val="10"/>
          <w:szCs w:val="10"/>
        </w:rPr>
        <w:t xml:space="preserve"> за 220</w:t>
      </w:r>
      <w:r w:rsidRPr="009A4094">
        <w:rPr>
          <w:sz w:val="10"/>
          <w:szCs w:val="10"/>
          <w:lang w:val="en-US"/>
        </w:rPr>
        <w:t xml:space="preserve">V </w:t>
      </w:r>
      <w:r w:rsidRPr="009A4094">
        <w:rPr>
          <w:sz w:val="10"/>
          <w:szCs w:val="10"/>
        </w:rPr>
        <w:t>и включете буксата към устройството.</w:t>
      </w:r>
    </w:p>
    <w:p w14:paraId="6ECB0631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 xml:space="preserve">Пазете устройството от висока температура, огън, влага и деца. </w:t>
      </w:r>
    </w:p>
    <w:p w14:paraId="7DB97FDB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Изключете адаптера от захранващата мрежа, когато не го ползвате.</w:t>
      </w:r>
    </w:p>
    <w:p w14:paraId="506AF0B7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В случай на повреда на устройството или неговия кабел го занесете в оторизиран  сервиз.</w:t>
      </w:r>
    </w:p>
    <w:p w14:paraId="31A17592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b/>
          <w:bCs/>
          <w:sz w:val="10"/>
          <w:szCs w:val="10"/>
        </w:rPr>
      </w:pPr>
      <w:r w:rsidRPr="009A4094">
        <w:rPr>
          <w:b/>
          <w:bCs/>
          <w:sz w:val="10"/>
          <w:szCs w:val="10"/>
        </w:rPr>
        <w:t>Рециклиране и изхвърляне на отпадъци от електрическо и електронно оборудване</w:t>
      </w:r>
    </w:p>
    <w:p w14:paraId="1A283AC2" w14:textId="77777777" w:rsidR="00920D96" w:rsidRPr="009A4094" w:rsidRDefault="00920D96" w:rsidP="00920D96">
      <w:pPr>
        <w:pStyle w:val="a3"/>
        <w:spacing w:after="0"/>
        <w:rPr>
          <w:sz w:val="10"/>
          <w:szCs w:val="10"/>
        </w:rPr>
      </w:pPr>
      <w:r w:rsidRPr="009A4094">
        <w:rPr>
          <w:noProof/>
          <w:sz w:val="10"/>
          <w:szCs w:val="10"/>
        </w:rPr>
        <w:drawing>
          <wp:anchor distT="0" distB="0" distL="114300" distR="114300" simplePos="0" relativeHeight="251687424" behindDoc="1" locked="0" layoutInCell="1" allowOverlap="1" wp14:anchorId="7CB87BF3" wp14:editId="4C7819DB">
            <wp:simplePos x="0" y="0"/>
            <wp:positionH relativeFrom="column">
              <wp:posOffset>2107565</wp:posOffset>
            </wp:positionH>
            <wp:positionV relativeFrom="paragraph">
              <wp:posOffset>207645</wp:posOffset>
            </wp:positionV>
            <wp:extent cx="370205" cy="252095"/>
            <wp:effectExtent l="0" t="0" r="0" b="0"/>
            <wp:wrapNone/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020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noProof/>
          <w:sz w:val="10"/>
          <w:szCs w:val="10"/>
        </w:rPr>
        <w:drawing>
          <wp:anchor distT="0" distB="0" distL="114300" distR="114300" simplePos="0" relativeHeight="251688448" behindDoc="1" locked="0" layoutInCell="1" allowOverlap="1" wp14:anchorId="3684B4B6" wp14:editId="1C156EE7">
            <wp:simplePos x="0" y="0"/>
            <wp:positionH relativeFrom="margin">
              <wp:posOffset>496570</wp:posOffset>
            </wp:positionH>
            <wp:positionV relativeFrom="paragraph">
              <wp:posOffset>10160</wp:posOffset>
            </wp:positionV>
            <wp:extent cx="318135" cy="165100"/>
            <wp:effectExtent l="0" t="0" r="5715" b="6350"/>
            <wp:wrapSquare wrapText="bothSides"/>
            <wp:docPr id="30" name="Картин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094">
        <w:rPr>
          <w:sz w:val="10"/>
          <w:szCs w:val="10"/>
        </w:rPr>
        <w:t xml:space="preserve">                  Продукта не е битов отпадък. Той носи символа за избирателно сортиране на     електрическо и електронно оборудване за отпадъци (</w:t>
      </w:r>
      <w:r w:rsidRPr="009A4094">
        <w:rPr>
          <w:sz w:val="10"/>
          <w:szCs w:val="10"/>
          <w:lang w:val="en-US"/>
        </w:rPr>
        <w:t xml:space="preserve">WEEE). </w:t>
      </w:r>
      <w:r w:rsidRPr="009A4094">
        <w:rPr>
          <w:sz w:val="10"/>
          <w:szCs w:val="10"/>
        </w:rPr>
        <w:t>Това означава, че с този продукт трябва да се работи    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</w:p>
    <w:p w14:paraId="1462DA5A" w14:textId="77777777" w:rsidR="00920D96" w:rsidRPr="009A4094" w:rsidRDefault="00920D96" w:rsidP="00920D96">
      <w:pPr>
        <w:pStyle w:val="a3"/>
        <w:numPr>
          <w:ilvl w:val="0"/>
          <w:numId w:val="32"/>
        </w:numPr>
        <w:spacing w:after="0"/>
        <w:rPr>
          <w:sz w:val="10"/>
          <w:szCs w:val="10"/>
        </w:rPr>
      </w:pPr>
      <w:r w:rsidRPr="009A4094">
        <w:rPr>
          <w:sz w:val="10"/>
          <w:szCs w:val="10"/>
        </w:rPr>
        <w:t>Продукта отговаря на европейските стандарти и е маркиран с</w:t>
      </w:r>
      <w:r w:rsidRPr="009A4094">
        <w:rPr>
          <w:sz w:val="10"/>
          <w:szCs w:val="10"/>
          <w:lang w:val="en-US"/>
        </w:rPr>
        <w:t xml:space="preserve"> </w:t>
      </w:r>
    </w:p>
    <w:p w14:paraId="2F5F792D" w14:textId="77777777" w:rsidR="00920D96" w:rsidRPr="009A4094" w:rsidRDefault="00920D96" w:rsidP="00920D96">
      <w:pPr>
        <w:pStyle w:val="a3"/>
        <w:spacing w:after="0"/>
        <w:rPr>
          <w:sz w:val="10"/>
          <w:szCs w:val="10"/>
          <w:lang w:val="en-US"/>
        </w:rPr>
      </w:pPr>
    </w:p>
    <w:p w14:paraId="368EF44C" w14:textId="085668AA" w:rsidR="002B4A60" w:rsidRPr="009A4094" w:rsidRDefault="002B4A60" w:rsidP="002B4A60">
      <w:pPr>
        <w:pStyle w:val="a3"/>
        <w:spacing w:after="0"/>
        <w:rPr>
          <w:sz w:val="10"/>
          <w:szCs w:val="10"/>
          <w:lang w:val="en-US"/>
        </w:rPr>
      </w:pPr>
    </w:p>
    <w:sectPr w:rsidR="002B4A60" w:rsidRPr="009A4094" w:rsidSect="00BA19B0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9B6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9A5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3A3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3EE3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5612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67BF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1DF9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26ADD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38E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56576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196A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2677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CE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96BC3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071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C7D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51C09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9255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30172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E6EA5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95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A514F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3D49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02492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5B98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654D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87AB5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810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26FC1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D6A4D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B76A4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06C5"/>
    <w:multiLevelType w:val="hybridMultilevel"/>
    <w:tmpl w:val="2FE0F5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28"/>
  </w:num>
  <w:num w:numId="5">
    <w:abstractNumId w:val="29"/>
  </w:num>
  <w:num w:numId="6">
    <w:abstractNumId w:val="23"/>
  </w:num>
  <w:num w:numId="7">
    <w:abstractNumId w:val="17"/>
  </w:num>
  <w:num w:numId="8">
    <w:abstractNumId w:val="1"/>
  </w:num>
  <w:num w:numId="9">
    <w:abstractNumId w:val="10"/>
  </w:num>
  <w:num w:numId="10">
    <w:abstractNumId w:val="8"/>
  </w:num>
  <w:num w:numId="11">
    <w:abstractNumId w:val="26"/>
  </w:num>
  <w:num w:numId="12">
    <w:abstractNumId w:val="13"/>
  </w:num>
  <w:num w:numId="13">
    <w:abstractNumId w:val="18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2"/>
  </w:num>
  <w:num w:numId="19">
    <w:abstractNumId w:val="31"/>
  </w:num>
  <w:num w:numId="20">
    <w:abstractNumId w:val="21"/>
  </w:num>
  <w:num w:numId="21">
    <w:abstractNumId w:val="27"/>
  </w:num>
  <w:num w:numId="22">
    <w:abstractNumId w:val="5"/>
  </w:num>
  <w:num w:numId="23">
    <w:abstractNumId w:val="22"/>
  </w:num>
  <w:num w:numId="24">
    <w:abstractNumId w:val="6"/>
  </w:num>
  <w:num w:numId="25">
    <w:abstractNumId w:val="24"/>
  </w:num>
  <w:num w:numId="26">
    <w:abstractNumId w:val="11"/>
  </w:num>
  <w:num w:numId="27">
    <w:abstractNumId w:val="14"/>
  </w:num>
  <w:num w:numId="28">
    <w:abstractNumId w:val="20"/>
  </w:num>
  <w:num w:numId="29">
    <w:abstractNumId w:val="2"/>
  </w:num>
  <w:num w:numId="30">
    <w:abstractNumId w:val="25"/>
  </w:num>
  <w:num w:numId="31">
    <w:abstractNumId w:val="1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6EF"/>
    <w:rsid w:val="00070B78"/>
    <w:rsid w:val="002B4A60"/>
    <w:rsid w:val="007444A1"/>
    <w:rsid w:val="007F56EF"/>
    <w:rsid w:val="00920D96"/>
    <w:rsid w:val="009A4094"/>
    <w:rsid w:val="00BA19B0"/>
    <w:rsid w:val="00E6785C"/>
    <w:rsid w:val="00E705A4"/>
    <w:rsid w:val="00F91C7E"/>
    <w:rsid w:val="00F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E912"/>
  <w15:docId w15:val="{F6FD10A1-BBAF-4F41-92B4-54AB1C3E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Samasung</dc:creator>
  <cp:lastModifiedBy>PC</cp:lastModifiedBy>
  <cp:revision>7</cp:revision>
  <cp:lastPrinted>2017-06-20T10:06:00Z</cp:lastPrinted>
  <dcterms:created xsi:type="dcterms:W3CDTF">2017-06-20T09:39:00Z</dcterms:created>
  <dcterms:modified xsi:type="dcterms:W3CDTF">2021-02-08T08:21:00Z</dcterms:modified>
</cp:coreProperties>
</file>